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2B" w:rsidRDefault="00FB2A2B" w:rsidP="00FB2A2B">
      <w:pPr>
        <w:pStyle w:val="Default"/>
      </w:pPr>
    </w:p>
    <w:p w:rsidR="00FB2A2B" w:rsidRDefault="00B9612F" w:rsidP="00FB2A2B">
      <w:pPr>
        <w:pStyle w:val="Default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8183111" wp14:editId="731F2573">
            <wp:extent cx="1419225" cy="957850"/>
            <wp:effectExtent l="0" t="0" r="0" b="0"/>
            <wp:docPr id="1" name="Picture 1" descr="N:\common files\msword\LOGO SUITE\BROADHEATH_PRIMARY_SCHOOL_LOGO_COLOUR_WEB-squareba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on files\msword\LOGO SUITE\BROADHEATH_PRIMARY_SCHOOL_LOGO_COLOUR_WEB-squareba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02" cy="97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2B" w:rsidRPr="00356F69" w:rsidRDefault="00FB2A2B" w:rsidP="00FB2A2B">
      <w:pPr>
        <w:pStyle w:val="Default"/>
        <w:rPr>
          <w:rFonts w:ascii="Century Gothic" w:hAnsi="Century Gothic"/>
          <w:b/>
          <w:sz w:val="22"/>
          <w:szCs w:val="22"/>
        </w:rPr>
      </w:pPr>
    </w:p>
    <w:p w:rsidR="00FB2A2B" w:rsidRPr="00356F69" w:rsidRDefault="00356F69" w:rsidP="00FB2A2B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356F69">
        <w:rPr>
          <w:rFonts w:ascii="Century Gothic" w:hAnsi="Century Gothic"/>
          <w:b/>
          <w:bCs/>
          <w:sz w:val="22"/>
          <w:szCs w:val="22"/>
        </w:rPr>
        <w:t xml:space="preserve">Equality Objectives </w:t>
      </w:r>
      <w:r w:rsidR="00B9612F" w:rsidRPr="00356F69">
        <w:rPr>
          <w:rFonts w:ascii="Century Gothic" w:hAnsi="Century Gothic"/>
          <w:b/>
          <w:bCs/>
          <w:sz w:val="22"/>
          <w:szCs w:val="22"/>
        </w:rPr>
        <w:t>2020</w:t>
      </w:r>
      <w:r w:rsidR="00FB2A2B" w:rsidRPr="00356F69">
        <w:rPr>
          <w:rFonts w:ascii="Century Gothic" w:hAnsi="Century Gothic"/>
          <w:b/>
          <w:bCs/>
          <w:sz w:val="22"/>
          <w:szCs w:val="22"/>
        </w:rPr>
        <w:t xml:space="preserve"> – </w:t>
      </w:r>
      <w:r w:rsidR="00B9612F" w:rsidRPr="00356F69">
        <w:rPr>
          <w:rFonts w:ascii="Century Gothic" w:hAnsi="Century Gothic"/>
          <w:b/>
          <w:bCs/>
          <w:sz w:val="22"/>
          <w:szCs w:val="22"/>
        </w:rPr>
        <w:t>2022</w:t>
      </w:r>
    </w:p>
    <w:p w:rsidR="00FB2A2B" w:rsidRPr="00356F69" w:rsidRDefault="00FB2A2B" w:rsidP="00FB2A2B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There are a number of statutory duties that must be met by every school in line with legislation from the Race Relations (Amendment) Act (2000), Disability Equality Duty (2005) and Equality Act (2010). </w:t>
      </w:r>
    </w:p>
    <w:p w:rsidR="00FB2A2B" w:rsidRPr="00356F69" w:rsidRDefault="00F20B6E" w:rsidP="00FB2A2B">
      <w:pPr>
        <w:pStyle w:val="Default"/>
        <w:rPr>
          <w:rFonts w:ascii="Century Gothic" w:hAnsi="Century Gothic"/>
          <w:sz w:val="20"/>
          <w:szCs w:val="20"/>
        </w:rPr>
      </w:pPr>
      <w:proofErr w:type="spellStart"/>
      <w:r w:rsidRPr="00356F69">
        <w:rPr>
          <w:rFonts w:ascii="Century Gothic" w:hAnsi="Century Gothic"/>
          <w:sz w:val="20"/>
          <w:szCs w:val="20"/>
        </w:rPr>
        <w:t>Broadheath</w:t>
      </w:r>
      <w:proofErr w:type="spellEnd"/>
      <w:r w:rsidR="00FB2A2B" w:rsidRPr="00356F69">
        <w:rPr>
          <w:rFonts w:ascii="Century Gothic" w:hAnsi="Century Gothic"/>
          <w:sz w:val="20"/>
          <w:szCs w:val="20"/>
        </w:rPr>
        <w:t xml:space="preserve"> Primary School is committed to meeting its public sector duties and acknowledges that we have a statutory duty to: </w:t>
      </w: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</w:p>
    <w:p w:rsidR="00FB2A2B" w:rsidRPr="00356F69" w:rsidRDefault="00FB2A2B" w:rsidP="00FB2A2B">
      <w:pPr>
        <w:pStyle w:val="Default"/>
        <w:spacing w:after="81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Eliminate discrimination, harassment and victimisation. </w:t>
      </w:r>
    </w:p>
    <w:p w:rsidR="00FB2A2B" w:rsidRPr="00356F69" w:rsidRDefault="00FB2A2B" w:rsidP="00FB2A2B">
      <w:pPr>
        <w:pStyle w:val="Default"/>
        <w:spacing w:after="81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Promote equality of access and opportunity within our school and within our wider community. </w:t>
      </w: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Promote positive attitudes to difference and good relationships between people with different backgrounds, genders, cultures, faiths, abilities and ethnic origins. </w:t>
      </w: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The Leadership Team and Governors at </w:t>
      </w:r>
      <w:proofErr w:type="spellStart"/>
      <w:r w:rsidR="00F20B6E" w:rsidRPr="00356F69">
        <w:rPr>
          <w:rFonts w:ascii="Century Gothic" w:hAnsi="Century Gothic"/>
          <w:sz w:val="20"/>
          <w:szCs w:val="20"/>
        </w:rPr>
        <w:t>Broadheath</w:t>
      </w:r>
      <w:proofErr w:type="spellEnd"/>
      <w:r w:rsidRPr="00356F69">
        <w:rPr>
          <w:rFonts w:ascii="Century Gothic" w:hAnsi="Century Gothic"/>
          <w:sz w:val="20"/>
          <w:szCs w:val="20"/>
        </w:rPr>
        <w:t xml:space="preserve"> Primary School regularly review the progress we are making to meet our equality objectives with regard to the protected groups (race, disability, gender, gender re-assignment, age, pregnancy and maternity, marital status, sexual orientation, religion and belief and sexual orientation) under the Equality A</w:t>
      </w:r>
      <w:bookmarkStart w:id="0" w:name="_GoBack"/>
      <w:bookmarkEnd w:id="0"/>
      <w:r w:rsidRPr="00356F69">
        <w:rPr>
          <w:rFonts w:ascii="Century Gothic" w:hAnsi="Century Gothic"/>
          <w:sz w:val="20"/>
          <w:szCs w:val="20"/>
        </w:rPr>
        <w:t xml:space="preserve">ct (2010). </w:t>
      </w: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</w:p>
    <w:p w:rsidR="00FB2A2B" w:rsidRPr="00356F69" w:rsidRDefault="00FB2A2B" w:rsidP="00FB2A2B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356F69">
        <w:rPr>
          <w:rFonts w:ascii="Century Gothic" w:hAnsi="Century Gothic"/>
          <w:b/>
          <w:bCs/>
          <w:sz w:val="20"/>
          <w:szCs w:val="20"/>
        </w:rPr>
        <w:t xml:space="preserve">Equality Objectives </w:t>
      </w: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At </w:t>
      </w:r>
      <w:proofErr w:type="spellStart"/>
      <w:r w:rsidR="00F20B6E" w:rsidRPr="00356F69">
        <w:rPr>
          <w:rFonts w:ascii="Century Gothic" w:hAnsi="Century Gothic"/>
          <w:sz w:val="20"/>
          <w:szCs w:val="20"/>
        </w:rPr>
        <w:t>Broadheath</w:t>
      </w:r>
      <w:proofErr w:type="spellEnd"/>
      <w:r w:rsidRPr="00356F69">
        <w:rPr>
          <w:rFonts w:ascii="Century Gothic" w:hAnsi="Century Gothic"/>
          <w:sz w:val="20"/>
          <w:szCs w:val="20"/>
        </w:rPr>
        <w:t xml:space="preserve"> Primary School, we are committed to ensuring equality of education and opportunity for all pupils, staff, parents and carers, irrespective of race, gender, </w:t>
      </w:r>
      <w:r w:rsidR="008D5747" w:rsidRPr="00356F69">
        <w:rPr>
          <w:rFonts w:ascii="Century Gothic" w:hAnsi="Century Gothic"/>
          <w:sz w:val="20"/>
          <w:szCs w:val="20"/>
        </w:rPr>
        <w:t xml:space="preserve">sexuality, mental health, </w:t>
      </w:r>
      <w:r w:rsidRPr="00356F69">
        <w:rPr>
          <w:rFonts w:ascii="Century Gothic" w:hAnsi="Century Gothic"/>
          <w:sz w:val="20"/>
          <w:szCs w:val="20"/>
        </w:rPr>
        <w:t xml:space="preserve">disability, belief, religion or socio-economic background. </w:t>
      </w:r>
    </w:p>
    <w:p w:rsidR="00FB2A2B" w:rsidRPr="00356F69" w:rsidRDefault="00FB2A2B" w:rsidP="00FB2A2B">
      <w:pPr>
        <w:pStyle w:val="Default"/>
        <w:rPr>
          <w:rFonts w:ascii="Century Gothic" w:hAnsi="Century Gothic"/>
          <w:sz w:val="20"/>
          <w:szCs w:val="20"/>
        </w:rPr>
      </w:pPr>
    </w:p>
    <w:p w:rsidR="00527583" w:rsidRPr="00356F69" w:rsidRDefault="00FB2A2B" w:rsidP="00E90B4E">
      <w:pPr>
        <w:pStyle w:val="Default"/>
        <w:rPr>
          <w:rFonts w:ascii="Century Gothic" w:hAnsi="Century Gothic"/>
          <w:sz w:val="20"/>
          <w:szCs w:val="20"/>
        </w:rPr>
      </w:pPr>
      <w:r w:rsidRPr="00356F69">
        <w:rPr>
          <w:rFonts w:ascii="Century Gothic" w:hAnsi="Century Gothic"/>
          <w:sz w:val="20"/>
          <w:szCs w:val="20"/>
        </w:rPr>
        <w:t xml:space="preserve">In order to further support pupils, raise standards and ensure inclusive teaching, we have set ourselves the following objectives:- </w:t>
      </w:r>
    </w:p>
    <w:p w:rsidR="00E90B4E" w:rsidRPr="00356F69" w:rsidRDefault="00E90B4E" w:rsidP="00E90B4E">
      <w:pPr>
        <w:pStyle w:val="Default"/>
        <w:rPr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287"/>
        <w:gridCol w:w="5288"/>
        <w:gridCol w:w="52"/>
      </w:tblGrid>
      <w:tr w:rsidR="00FA3881" w:rsidRPr="00FA3881" w:rsidTr="00FA3881">
        <w:trPr>
          <w:trHeight w:val="209"/>
        </w:trPr>
        <w:tc>
          <w:tcPr>
            <w:tcW w:w="10627" w:type="dxa"/>
            <w:gridSpan w:val="3"/>
          </w:tcPr>
          <w:p w:rsidR="00FA3881" w:rsidRPr="00FA3881" w:rsidRDefault="00FA3881" w:rsidP="00FA388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56F6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Equality Objective </w:t>
            </w:r>
            <w:r w:rsidR="0082305B" w:rsidRPr="00356F6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1.</w:t>
            </w:r>
          </w:p>
          <w:p w:rsidR="00FA3881" w:rsidRPr="00FA3881" w:rsidRDefault="00FA3881" w:rsidP="00007B6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FA38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To </w:t>
            </w:r>
            <w:r w:rsidR="00007B65" w:rsidRPr="00356F6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promote </w:t>
            </w:r>
            <w:r w:rsidR="00007B65" w:rsidRPr="00356F6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diversity</w:t>
            </w:r>
            <w:r w:rsidR="00007B65" w:rsidRPr="00356F6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  <w:r w:rsidR="00007B65" w:rsidRPr="00356F6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and </w:t>
            </w:r>
            <w:r w:rsidR="00007B65" w:rsidRPr="00356F6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race equality across all aspects of school life.</w:t>
            </w:r>
            <w:r w:rsidRPr="00FA38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A3881" w:rsidRPr="00356F69" w:rsidTr="00FA3881">
        <w:trPr>
          <w:gridAfter w:val="1"/>
          <w:wAfter w:w="52" w:type="dxa"/>
        </w:trPr>
        <w:tc>
          <w:tcPr>
            <w:tcW w:w="5287" w:type="dxa"/>
          </w:tcPr>
          <w:p w:rsidR="00FA3881" w:rsidRPr="00356F69" w:rsidRDefault="00FA3881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Outcomes</w:t>
            </w:r>
          </w:p>
        </w:tc>
        <w:tc>
          <w:tcPr>
            <w:tcW w:w="5288" w:type="dxa"/>
          </w:tcPr>
          <w:p w:rsidR="00FA3881" w:rsidRPr="00356F69" w:rsidRDefault="00FA3881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Measured by</w:t>
            </w:r>
          </w:p>
        </w:tc>
      </w:tr>
      <w:tr w:rsidR="00FA3881" w:rsidRPr="00356F69" w:rsidTr="00FA3881">
        <w:trPr>
          <w:gridAfter w:val="1"/>
          <w:wAfter w:w="52" w:type="dxa"/>
        </w:trPr>
        <w:tc>
          <w:tcPr>
            <w:tcW w:w="5287" w:type="dxa"/>
          </w:tcPr>
          <w:p w:rsidR="00FA3881" w:rsidRPr="00356F69" w:rsidRDefault="00007B65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Raise awareness of diversity and race equality.</w:t>
            </w:r>
          </w:p>
          <w:p w:rsidR="00007B65" w:rsidRPr="00356F69" w:rsidRDefault="00007B65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Children are aware of positive role models.</w:t>
            </w:r>
          </w:p>
          <w:p w:rsidR="00007B65" w:rsidRPr="00356F69" w:rsidRDefault="00007B65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The curriculum reflects a rich diversity or races and cultures.</w:t>
            </w:r>
          </w:p>
          <w:p w:rsidR="00FA3881" w:rsidRPr="00356F69" w:rsidRDefault="00007B65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Racist bullying is rare and all pupils feel </w:t>
            </w:r>
            <w:r w:rsidR="00F62079" w:rsidRPr="00356F69">
              <w:rPr>
                <w:rFonts w:ascii="Century Gothic" w:hAnsi="Century Gothic"/>
                <w:sz w:val="20"/>
                <w:szCs w:val="20"/>
              </w:rPr>
              <w:t>safe and v</w:t>
            </w:r>
            <w:r w:rsidRPr="00356F69">
              <w:rPr>
                <w:rFonts w:ascii="Century Gothic" w:hAnsi="Century Gothic"/>
                <w:sz w:val="20"/>
                <w:szCs w:val="20"/>
              </w:rPr>
              <w:t>alued in school.</w:t>
            </w:r>
          </w:p>
          <w:p w:rsidR="00FA3881" w:rsidRPr="00356F69" w:rsidRDefault="00FA38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3881" w:rsidRPr="00356F69" w:rsidRDefault="00FA38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5"/>
            </w:tblGrid>
            <w:tr w:rsidR="00E90B4E" w:rsidRPr="00E90B4E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1385" w:type="dxa"/>
                </w:tcPr>
                <w:p w:rsidR="00E90B4E" w:rsidRPr="00E90B4E" w:rsidRDefault="00E90B4E" w:rsidP="00E90B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90B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881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Pupil voice</w:t>
            </w:r>
          </w:p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Curriculum maps and pupil experiences</w:t>
            </w:r>
          </w:p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CPOMS entries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Activity</w:t>
            </w:r>
          </w:p>
        </w:tc>
        <w:tc>
          <w:tcPr>
            <w:tcW w:w="5288" w:type="dxa"/>
          </w:tcPr>
          <w:p w:rsidR="00356F69" w:rsidRPr="00356F69" w:rsidRDefault="00356F69" w:rsidP="00FA3881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Lead Officer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Pupil voice activities to gain insight into pupil understanding of equality and diversity.</w:t>
            </w:r>
          </w:p>
        </w:tc>
        <w:tc>
          <w:tcPr>
            <w:tcW w:w="5288" w:type="dxa"/>
          </w:tcPr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KL/KT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Staff training – Equality and Diversity</w:t>
            </w:r>
          </w:p>
          <w:p w:rsidR="00356F69" w:rsidRPr="00356F69" w:rsidRDefault="00356F69" w:rsidP="00F62079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Motivational speaker</w:t>
            </w:r>
          </w:p>
        </w:tc>
        <w:tc>
          <w:tcPr>
            <w:tcW w:w="5288" w:type="dxa"/>
          </w:tcPr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KL</w:t>
            </w:r>
          </w:p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6F69" w:rsidRPr="00356F69" w:rsidRDefault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KL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Curriculum - Staff meetings devoted to curriculum design to ensure that all topics recognise and celebrate different cultures.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                   Curriculum maps developed in line with this.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                    Creative activities to positively raise the profile of diversity.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                   </w:t>
            </w:r>
            <w:r w:rsidRPr="00356F69">
              <w:rPr>
                <w:rFonts w:ascii="Century Gothic" w:hAnsi="Century Gothic"/>
                <w:sz w:val="20"/>
                <w:szCs w:val="20"/>
              </w:rPr>
              <w:t>Language of the term embedded across all year groups.</w:t>
            </w:r>
          </w:p>
          <w:p w:rsidR="00356F69" w:rsidRPr="00356F69" w:rsidRDefault="00356F69" w:rsidP="00F6207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lastRenderedPageBreak/>
              <w:t xml:space="preserve">                    Improved pupil understanding and knowledge of the impact of black and Asian role models across the curriculum.</w:t>
            </w:r>
          </w:p>
          <w:p w:rsidR="00356F69" w:rsidRPr="00356F69" w:rsidRDefault="00356F69" w:rsidP="00F6207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                     Parents invited into school to share their experiences and culture with classes.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lastRenderedPageBreak/>
              <w:t>KL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Racist language identified and acted upon thoroughly.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Midday staff training.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Racism discussed as part of the PSHE curriculum.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</w:tbl>
    <w:p w:rsidR="00FA3881" w:rsidRPr="00356F69" w:rsidRDefault="00FA3881">
      <w:pPr>
        <w:rPr>
          <w:sz w:val="20"/>
          <w:szCs w:val="20"/>
        </w:rPr>
      </w:pPr>
    </w:p>
    <w:p w:rsidR="0082305B" w:rsidRPr="00356F69" w:rsidRDefault="0082305B">
      <w:pPr>
        <w:rPr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287"/>
        <w:gridCol w:w="5288"/>
        <w:gridCol w:w="52"/>
      </w:tblGrid>
      <w:tr w:rsidR="0082305B" w:rsidRPr="00356F69" w:rsidTr="0097049A">
        <w:trPr>
          <w:trHeight w:val="209"/>
        </w:trPr>
        <w:tc>
          <w:tcPr>
            <w:tcW w:w="10627" w:type="dxa"/>
            <w:gridSpan w:val="3"/>
          </w:tcPr>
          <w:p w:rsidR="0082305B" w:rsidRPr="00FA3881" w:rsidRDefault="0082305B" w:rsidP="009704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56F6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Equality Objective </w:t>
            </w:r>
            <w:r w:rsidRPr="00356F6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</w:t>
            </w:r>
            <w:r w:rsidRPr="00356F6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8"/>
            </w:tblGrid>
            <w:tr w:rsidR="0082305B" w:rsidRPr="0082305B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8068" w:type="dxa"/>
                </w:tcPr>
                <w:p w:rsidR="0082305B" w:rsidRPr="0082305B" w:rsidRDefault="0082305B" w:rsidP="008230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FA3881"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</w:rPr>
                    <w:t xml:space="preserve">To </w:t>
                  </w:r>
                  <w:r w:rsidRPr="00356F69"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</w:rPr>
                    <w:t>e</w:t>
                  </w:r>
                  <w:r w:rsidRPr="0082305B"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</w:rPr>
                    <w:t xml:space="preserve">nsure that emotional wellbeing of our children and staff is an intrinsic part of the education offered at </w:t>
                  </w:r>
                  <w:proofErr w:type="spellStart"/>
                  <w:r w:rsidRPr="00356F69"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</w:rPr>
                    <w:t>Broadheath</w:t>
                  </w:r>
                  <w:proofErr w:type="spellEnd"/>
                  <w:r w:rsidRPr="0082305B"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</w:rPr>
                    <w:t>, ensuring all achieve across the curriculum.</w:t>
                  </w:r>
                  <w:r w:rsidRPr="0082305B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2305B" w:rsidRPr="00FA3881" w:rsidRDefault="0082305B" w:rsidP="0082305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82305B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82305B" w:rsidRPr="00356F69" w:rsidRDefault="0082305B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Outcomes</w:t>
            </w:r>
          </w:p>
        </w:tc>
        <w:tc>
          <w:tcPr>
            <w:tcW w:w="5288" w:type="dxa"/>
          </w:tcPr>
          <w:p w:rsidR="0082305B" w:rsidRPr="00356F69" w:rsidRDefault="0082305B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Measured by</w:t>
            </w:r>
          </w:p>
        </w:tc>
      </w:tr>
      <w:tr w:rsidR="0082305B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Pupils with social and emotional difficulties make progress in line with national levels and gap between them and their peers is reduced. </w:t>
            </w:r>
          </w:p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These children are effectively catered for in all lessons and at different parts of the day. </w:t>
            </w:r>
          </w:p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Children are able to access all aspects of their learning due to a healthier social and emotional mind set. </w:t>
            </w:r>
          </w:p>
          <w:p w:rsidR="0082305B" w:rsidRPr="00356F69" w:rsidRDefault="0082305B" w:rsidP="009704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8" w:type="dxa"/>
          </w:tcPr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Data Tracking </w:t>
            </w:r>
          </w:p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Lesson observations </w:t>
            </w:r>
          </w:p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Elsa progress data </w:t>
            </w:r>
          </w:p>
          <w:p w:rsidR="00E90B4E" w:rsidRPr="00356F69" w:rsidRDefault="00E90B4E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Reduced behaviour incidents recorded on CPOMS </w:t>
            </w:r>
          </w:p>
          <w:p w:rsidR="0082305B" w:rsidRPr="00356F69" w:rsidRDefault="00E90B4E" w:rsidP="00E90B4E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Pupil/Staff voice</w:t>
            </w:r>
            <w:r w:rsidRPr="00356F69">
              <w:rPr>
                <w:sz w:val="20"/>
                <w:szCs w:val="20"/>
              </w:rPr>
              <w:t xml:space="preserve"> 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Activity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Lead Officer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Identify children and follow the referral pathway to ensure barriers are quickly addressed to avoid any further difficulties.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Range of barriers are identified and dealt with.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Loss and bereavement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Self-esteem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Social skills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Emotions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Friendship issues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Relationships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Anger Management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Behaviour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Anxiety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 Bullying </w:t>
            </w: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356F69" w:rsidRPr="00356F69" w:rsidRDefault="00356F69" w:rsidP="00E90B4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Appropriate </w:t>
            </w:r>
            <w:r w:rsidRPr="00356F69">
              <w:rPr>
                <w:rFonts w:ascii="Century Gothic" w:hAnsi="Century Gothic"/>
                <w:sz w:val="20"/>
                <w:szCs w:val="20"/>
              </w:rPr>
              <w:t xml:space="preserve">intervention </w:t>
            </w:r>
            <w:r w:rsidRPr="00356F69">
              <w:rPr>
                <w:rFonts w:ascii="Century Gothic" w:hAnsi="Century Gothic"/>
                <w:sz w:val="20"/>
                <w:szCs w:val="20"/>
              </w:rPr>
              <w:t xml:space="preserve">provision is in place to address children’s emotional well-being. </w:t>
            </w:r>
          </w:p>
          <w:p w:rsidR="00356F69" w:rsidRPr="00356F69" w:rsidRDefault="00356F69" w:rsidP="00E90B4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6F69" w:rsidRPr="00356F69" w:rsidRDefault="00356F69" w:rsidP="00E90B4E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Resources and programmes in place to support targeted work.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6F69" w:rsidRPr="00356F69" w:rsidRDefault="00356F69" w:rsidP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  <w:p w:rsidR="00356F69" w:rsidRPr="00356F69" w:rsidRDefault="00356F69" w:rsidP="00356F6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6F69" w:rsidRPr="00356F69" w:rsidRDefault="00356F69" w:rsidP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SENCO</w:t>
            </w:r>
          </w:p>
          <w:p w:rsidR="00356F69" w:rsidRPr="00356F69" w:rsidRDefault="00356F69" w:rsidP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Pastoral Lead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82305B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Curriculum – the curriculum across all key stages supports all children in developing skills and understanding in self-help and self-care.</w:t>
            </w:r>
          </w:p>
          <w:p w:rsidR="00356F69" w:rsidRPr="00356F69" w:rsidRDefault="00356F69" w:rsidP="0082305B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Resources and programmes in place to support well-being within the general curriculum.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356F69" w:rsidRPr="00356F69" w:rsidTr="00356F69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Staff welfare – staff training to support well-being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                           Peer supervision to take place each week,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</w:tbl>
    <w:p w:rsidR="0082305B" w:rsidRPr="00356F69" w:rsidRDefault="0082305B">
      <w:pPr>
        <w:rPr>
          <w:sz w:val="20"/>
          <w:szCs w:val="20"/>
        </w:rPr>
      </w:pPr>
    </w:p>
    <w:p w:rsidR="00356F69" w:rsidRPr="00356F69" w:rsidRDefault="00356F69">
      <w:pPr>
        <w:rPr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287"/>
        <w:gridCol w:w="5288"/>
        <w:gridCol w:w="52"/>
      </w:tblGrid>
      <w:tr w:rsidR="00356F69" w:rsidRPr="00356F69" w:rsidTr="0097049A">
        <w:trPr>
          <w:trHeight w:val="209"/>
        </w:trPr>
        <w:tc>
          <w:tcPr>
            <w:tcW w:w="10627" w:type="dxa"/>
            <w:gridSpan w:val="3"/>
          </w:tcPr>
          <w:p w:rsidR="00356F69" w:rsidRPr="00FA3881" w:rsidRDefault="00356F69" w:rsidP="00356F6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56F6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Equality Objective 3.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8"/>
            </w:tblGrid>
            <w:tr w:rsidR="00356F69" w:rsidRPr="0082305B" w:rsidTr="0097049A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806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52"/>
                  </w:tblGrid>
                  <w:tr w:rsidR="00356F69" w:rsidRPr="0082305B" w:rsidTr="009704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3"/>
                    </w:trPr>
                    <w:tc>
                      <w:tcPr>
                        <w:tcW w:w="7852" w:type="dxa"/>
                      </w:tcPr>
                      <w:p w:rsidR="00356F69" w:rsidRPr="0082305B" w:rsidRDefault="00356F69" w:rsidP="00356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2305B">
                          <w:rPr>
                            <w:rFonts w:ascii="Century Gothic" w:hAnsi="Century Gothic" w:cs="Arial"/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To ensure that pupils from disadvantaged backgrounds have an equal chance of making good or better progress from starting points by focused quality first teaching and targeted intervention </w:t>
                        </w:r>
                      </w:p>
                    </w:tc>
                  </w:tr>
                </w:tbl>
                <w:p w:rsidR="00356F69" w:rsidRPr="0082305B" w:rsidRDefault="00356F69" w:rsidP="00356F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6F69" w:rsidRPr="00FA3881" w:rsidRDefault="00356F69" w:rsidP="009704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356F69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lastRenderedPageBreak/>
              <w:t>Outcomes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Measured by</w:t>
            </w:r>
          </w:p>
        </w:tc>
      </w:tr>
      <w:tr w:rsidR="00356F69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356F6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Pupil Premium pupils are catered for in lessons through teacher focus and targeted lesson intervention. </w:t>
            </w:r>
          </w:p>
          <w:p w:rsidR="00356F69" w:rsidRPr="00356F69" w:rsidRDefault="00356F69" w:rsidP="00356F6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Pupils to have made good progress from starting points and make progress in line with national expectations </w:t>
            </w:r>
          </w:p>
          <w:p w:rsidR="00356F69" w:rsidRPr="00356F69" w:rsidRDefault="00356F69" w:rsidP="00356F6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8" w:type="dxa"/>
          </w:tcPr>
          <w:p w:rsidR="00356F69" w:rsidRPr="00356F69" w:rsidRDefault="00356F69" w:rsidP="00356F6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sz w:val="20"/>
                <w:szCs w:val="20"/>
              </w:rPr>
              <w:t xml:space="preserve"> </w:t>
            </w:r>
            <w:r w:rsidRPr="00356F69">
              <w:rPr>
                <w:rFonts w:ascii="Century Gothic" w:hAnsi="Century Gothic"/>
                <w:sz w:val="20"/>
                <w:szCs w:val="20"/>
              </w:rPr>
              <w:t xml:space="preserve">Termly pupil progress meetings. </w:t>
            </w:r>
          </w:p>
          <w:p w:rsidR="00356F69" w:rsidRPr="00356F69" w:rsidRDefault="00356F69" w:rsidP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Book scrutiny, pupil interviews. </w:t>
            </w:r>
          </w:p>
          <w:p w:rsidR="00356F69" w:rsidRPr="00356F69" w:rsidRDefault="00356F69" w:rsidP="00356F69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Pupil outcomes</w:t>
            </w:r>
          </w:p>
        </w:tc>
      </w:tr>
      <w:tr w:rsidR="00356F69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Activity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Lead Officer</w:t>
            </w:r>
          </w:p>
        </w:tc>
      </w:tr>
      <w:tr w:rsidR="00356F69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356F6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Identify the barriers to learning for all disadvantaged pupils. 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KT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6F69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Ensure pupil premium funding is deployed effectively to raise pupil’s outcomes</w:t>
            </w: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KT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  <w:tr w:rsidR="00356F69" w:rsidRPr="00356F69" w:rsidTr="0097049A">
        <w:trPr>
          <w:gridAfter w:val="1"/>
          <w:wAfter w:w="52" w:type="dxa"/>
        </w:trPr>
        <w:tc>
          <w:tcPr>
            <w:tcW w:w="5287" w:type="dxa"/>
          </w:tcPr>
          <w:p w:rsidR="00356F69" w:rsidRPr="00356F69" w:rsidRDefault="00356F69" w:rsidP="00356F6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 xml:space="preserve">Effective work with external agencies including health to ensure that provision is </w:t>
            </w:r>
            <w:r w:rsidRPr="00356F69">
              <w:rPr>
                <w:rFonts w:ascii="Century Gothic" w:hAnsi="Century Gothic"/>
                <w:sz w:val="20"/>
                <w:szCs w:val="20"/>
              </w:rPr>
              <w:t>centred</w:t>
            </w:r>
            <w:r w:rsidRPr="00356F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356F69">
              <w:rPr>
                <w:rFonts w:ascii="Century Gothic" w:hAnsi="Century Gothic"/>
                <w:sz w:val="20"/>
                <w:szCs w:val="20"/>
              </w:rPr>
              <w:t>around</w:t>
            </w:r>
            <w:proofErr w:type="gramEnd"/>
            <w:r w:rsidRPr="00356F69">
              <w:rPr>
                <w:rFonts w:ascii="Century Gothic" w:hAnsi="Century Gothic"/>
                <w:sz w:val="20"/>
                <w:szCs w:val="20"/>
              </w:rPr>
              <w:t xml:space="preserve"> the child and families effectively to meet their needs. 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88" w:type="dxa"/>
          </w:tcPr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KT</w:t>
            </w:r>
          </w:p>
          <w:p w:rsidR="00356F69" w:rsidRPr="00356F69" w:rsidRDefault="00356F69" w:rsidP="0097049A">
            <w:pPr>
              <w:rPr>
                <w:rFonts w:ascii="Century Gothic" w:hAnsi="Century Gothic"/>
                <w:sz w:val="20"/>
                <w:szCs w:val="20"/>
              </w:rPr>
            </w:pPr>
            <w:r w:rsidRPr="00356F69">
              <w:rPr>
                <w:rFonts w:ascii="Century Gothic" w:hAnsi="Century Gothic"/>
                <w:sz w:val="20"/>
                <w:szCs w:val="20"/>
              </w:rPr>
              <w:t>All staff</w:t>
            </w:r>
          </w:p>
        </w:tc>
      </w:tr>
    </w:tbl>
    <w:p w:rsidR="0082305B" w:rsidRDefault="0082305B"/>
    <w:p w:rsidR="00356F69" w:rsidRDefault="00356F69"/>
    <w:sectPr w:rsidR="00356F69" w:rsidSect="003853F8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049D"/>
    <w:multiLevelType w:val="multilevel"/>
    <w:tmpl w:val="DBB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AF6B4A"/>
    <w:multiLevelType w:val="multilevel"/>
    <w:tmpl w:val="8C2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2B"/>
    <w:rsid w:val="00003D4A"/>
    <w:rsid w:val="00007B65"/>
    <w:rsid w:val="000269E2"/>
    <w:rsid w:val="00035CFE"/>
    <w:rsid w:val="0005339E"/>
    <w:rsid w:val="00065027"/>
    <w:rsid w:val="00072CF1"/>
    <w:rsid w:val="00086BA3"/>
    <w:rsid w:val="00092D4D"/>
    <w:rsid w:val="000A1F85"/>
    <w:rsid w:val="000A3314"/>
    <w:rsid w:val="000D1EC7"/>
    <w:rsid w:val="000D20EE"/>
    <w:rsid w:val="000F122F"/>
    <w:rsid w:val="0011080F"/>
    <w:rsid w:val="001241F3"/>
    <w:rsid w:val="00130CBC"/>
    <w:rsid w:val="00143E53"/>
    <w:rsid w:val="00157BD2"/>
    <w:rsid w:val="00163525"/>
    <w:rsid w:val="0018178B"/>
    <w:rsid w:val="00184033"/>
    <w:rsid w:val="00196A71"/>
    <w:rsid w:val="001A4337"/>
    <w:rsid w:val="001D7C3D"/>
    <w:rsid w:val="001E35CD"/>
    <w:rsid w:val="001E563F"/>
    <w:rsid w:val="001E7751"/>
    <w:rsid w:val="001F7E74"/>
    <w:rsid w:val="002043D2"/>
    <w:rsid w:val="002043F0"/>
    <w:rsid w:val="00226BB4"/>
    <w:rsid w:val="00226EC1"/>
    <w:rsid w:val="0023578B"/>
    <w:rsid w:val="00244320"/>
    <w:rsid w:val="00246D9B"/>
    <w:rsid w:val="00252C8A"/>
    <w:rsid w:val="00260CE4"/>
    <w:rsid w:val="00262EF3"/>
    <w:rsid w:val="00266DC0"/>
    <w:rsid w:val="00272F63"/>
    <w:rsid w:val="0029365F"/>
    <w:rsid w:val="002A69ED"/>
    <w:rsid w:val="002B1DAF"/>
    <w:rsid w:val="002D0E23"/>
    <w:rsid w:val="002D563E"/>
    <w:rsid w:val="002E684A"/>
    <w:rsid w:val="002E766B"/>
    <w:rsid w:val="0030772B"/>
    <w:rsid w:val="003211EA"/>
    <w:rsid w:val="00356F69"/>
    <w:rsid w:val="003616BD"/>
    <w:rsid w:val="003853F8"/>
    <w:rsid w:val="00391D74"/>
    <w:rsid w:val="00394C2E"/>
    <w:rsid w:val="003A0BFC"/>
    <w:rsid w:val="003A37AC"/>
    <w:rsid w:val="003D6F29"/>
    <w:rsid w:val="003E19F6"/>
    <w:rsid w:val="00401690"/>
    <w:rsid w:val="004237E0"/>
    <w:rsid w:val="00425C7B"/>
    <w:rsid w:val="00435990"/>
    <w:rsid w:val="00436672"/>
    <w:rsid w:val="004668D2"/>
    <w:rsid w:val="004A328B"/>
    <w:rsid w:val="004B0B19"/>
    <w:rsid w:val="004B4781"/>
    <w:rsid w:val="004B5B5C"/>
    <w:rsid w:val="004C1EF7"/>
    <w:rsid w:val="004D07B9"/>
    <w:rsid w:val="004F64C2"/>
    <w:rsid w:val="00502881"/>
    <w:rsid w:val="00505D9E"/>
    <w:rsid w:val="00527583"/>
    <w:rsid w:val="00530F60"/>
    <w:rsid w:val="0055234A"/>
    <w:rsid w:val="00554241"/>
    <w:rsid w:val="00565666"/>
    <w:rsid w:val="005758C5"/>
    <w:rsid w:val="005818F2"/>
    <w:rsid w:val="00590725"/>
    <w:rsid w:val="005A37DC"/>
    <w:rsid w:val="005B7931"/>
    <w:rsid w:val="005D5AB3"/>
    <w:rsid w:val="005F2165"/>
    <w:rsid w:val="0061160E"/>
    <w:rsid w:val="006213B1"/>
    <w:rsid w:val="0063249C"/>
    <w:rsid w:val="00651052"/>
    <w:rsid w:val="00651931"/>
    <w:rsid w:val="006762EC"/>
    <w:rsid w:val="006950E6"/>
    <w:rsid w:val="006972A8"/>
    <w:rsid w:val="006C0788"/>
    <w:rsid w:val="006C12AB"/>
    <w:rsid w:val="006C415D"/>
    <w:rsid w:val="006C4C8B"/>
    <w:rsid w:val="006E016B"/>
    <w:rsid w:val="006E051E"/>
    <w:rsid w:val="00700EFE"/>
    <w:rsid w:val="0070694A"/>
    <w:rsid w:val="00714E08"/>
    <w:rsid w:val="00721C8C"/>
    <w:rsid w:val="00722D8B"/>
    <w:rsid w:val="00752511"/>
    <w:rsid w:val="00767983"/>
    <w:rsid w:val="00770EBC"/>
    <w:rsid w:val="0077318D"/>
    <w:rsid w:val="00774C96"/>
    <w:rsid w:val="00787B34"/>
    <w:rsid w:val="00794D37"/>
    <w:rsid w:val="007B3AC0"/>
    <w:rsid w:val="0080476C"/>
    <w:rsid w:val="008135C9"/>
    <w:rsid w:val="008156BB"/>
    <w:rsid w:val="00815EE7"/>
    <w:rsid w:val="0082305B"/>
    <w:rsid w:val="00836966"/>
    <w:rsid w:val="00841250"/>
    <w:rsid w:val="008524D0"/>
    <w:rsid w:val="008562BD"/>
    <w:rsid w:val="0086410D"/>
    <w:rsid w:val="0086640C"/>
    <w:rsid w:val="0086681D"/>
    <w:rsid w:val="0087550F"/>
    <w:rsid w:val="008808F6"/>
    <w:rsid w:val="0088604A"/>
    <w:rsid w:val="008958D7"/>
    <w:rsid w:val="008C4E53"/>
    <w:rsid w:val="008D5747"/>
    <w:rsid w:val="008D75F9"/>
    <w:rsid w:val="008D7B2C"/>
    <w:rsid w:val="008F67A0"/>
    <w:rsid w:val="00960801"/>
    <w:rsid w:val="00997B99"/>
    <w:rsid w:val="009C7D79"/>
    <w:rsid w:val="009D36BA"/>
    <w:rsid w:val="009E0008"/>
    <w:rsid w:val="009E2EEA"/>
    <w:rsid w:val="009E2F05"/>
    <w:rsid w:val="009F1514"/>
    <w:rsid w:val="00A12694"/>
    <w:rsid w:val="00A1653E"/>
    <w:rsid w:val="00A20B51"/>
    <w:rsid w:val="00A422F2"/>
    <w:rsid w:val="00A554E1"/>
    <w:rsid w:val="00A63E98"/>
    <w:rsid w:val="00A83134"/>
    <w:rsid w:val="00A840EF"/>
    <w:rsid w:val="00A975C7"/>
    <w:rsid w:val="00AB27FE"/>
    <w:rsid w:val="00AD3865"/>
    <w:rsid w:val="00AD77B2"/>
    <w:rsid w:val="00AF743A"/>
    <w:rsid w:val="00B404DB"/>
    <w:rsid w:val="00B47A8C"/>
    <w:rsid w:val="00B5694F"/>
    <w:rsid w:val="00B60474"/>
    <w:rsid w:val="00B92B26"/>
    <w:rsid w:val="00B944A0"/>
    <w:rsid w:val="00B9612F"/>
    <w:rsid w:val="00BA6687"/>
    <w:rsid w:val="00BB0DFC"/>
    <w:rsid w:val="00BC252B"/>
    <w:rsid w:val="00BC318E"/>
    <w:rsid w:val="00BC756E"/>
    <w:rsid w:val="00C16E52"/>
    <w:rsid w:val="00C2728F"/>
    <w:rsid w:val="00CB476A"/>
    <w:rsid w:val="00CB7E51"/>
    <w:rsid w:val="00CC0271"/>
    <w:rsid w:val="00CC7B6D"/>
    <w:rsid w:val="00CF6130"/>
    <w:rsid w:val="00D11A54"/>
    <w:rsid w:val="00D42862"/>
    <w:rsid w:val="00D43F79"/>
    <w:rsid w:val="00D61D84"/>
    <w:rsid w:val="00D65880"/>
    <w:rsid w:val="00D73350"/>
    <w:rsid w:val="00D91DC7"/>
    <w:rsid w:val="00D97D42"/>
    <w:rsid w:val="00DA573F"/>
    <w:rsid w:val="00DA6DB1"/>
    <w:rsid w:val="00DC26AD"/>
    <w:rsid w:val="00DC61C7"/>
    <w:rsid w:val="00DD2F58"/>
    <w:rsid w:val="00DF7A07"/>
    <w:rsid w:val="00E30805"/>
    <w:rsid w:val="00E32193"/>
    <w:rsid w:val="00E57C3B"/>
    <w:rsid w:val="00E72570"/>
    <w:rsid w:val="00E75625"/>
    <w:rsid w:val="00E90B4E"/>
    <w:rsid w:val="00E9637A"/>
    <w:rsid w:val="00EC57A6"/>
    <w:rsid w:val="00EE3D96"/>
    <w:rsid w:val="00F02246"/>
    <w:rsid w:val="00F20B6E"/>
    <w:rsid w:val="00F446C8"/>
    <w:rsid w:val="00F60B7D"/>
    <w:rsid w:val="00F62079"/>
    <w:rsid w:val="00F8444C"/>
    <w:rsid w:val="00F97BC1"/>
    <w:rsid w:val="00FA3881"/>
    <w:rsid w:val="00FB2A2B"/>
    <w:rsid w:val="00FC2217"/>
    <w:rsid w:val="00FF2517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B365"/>
  <w15:docId w15:val="{0B18ACB3-C0BF-421A-B553-D1F32C2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Lourdes Primary School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O'Connor</dc:creator>
  <cp:lastModifiedBy>user</cp:lastModifiedBy>
  <cp:revision>2</cp:revision>
  <cp:lastPrinted>2016-04-26T09:04:00Z</cp:lastPrinted>
  <dcterms:created xsi:type="dcterms:W3CDTF">2021-04-20T15:13:00Z</dcterms:created>
  <dcterms:modified xsi:type="dcterms:W3CDTF">2021-04-20T15:13:00Z</dcterms:modified>
</cp:coreProperties>
</file>